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41D3D497" w:rsidR="008B286C" w:rsidRDefault="2D8ABE31" w:rsidP="6630C7F1">
      <w:pPr>
        <w:jc w:val="center"/>
        <w:rPr>
          <w:b/>
          <w:bCs/>
          <w:sz w:val="40"/>
          <w:szCs w:val="40"/>
          <w:u w:val="single"/>
        </w:rPr>
      </w:pPr>
      <w:r w:rsidRPr="6630C7F1">
        <w:rPr>
          <w:b/>
          <w:bCs/>
          <w:sz w:val="40"/>
          <w:szCs w:val="40"/>
          <w:u w:val="single"/>
        </w:rPr>
        <w:t>ATCAA Food Bank Backup Generator Project Q</w:t>
      </w:r>
      <w:r w:rsidR="11D7A25B" w:rsidRPr="6630C7F1">
        <w:rPr>
          <w:b/>
          <w:bCs/>
          <w:sz w:val="40"/>
          <w:szCs w:val="40"/>
          <w:u w:val="single"/>
        </w:rPr>
        <w:t>&amp;A</w:t>
      </w:r>
    </w:p>
    <w:p w14:paraId="6625C95B" w14:textId="67545FF6" w:rsidR="6630C7F1" w:rsidRDefault="6630C7F1" w:rsidP="6630C7F1">
      <w:pPr>
        <w:jc w:val="center"/>
        <w:rPr>
          <w:b/>
          <w:bCs/>
          <w:sz w:val="40"/>
          <w:szCs w:val="40"/>
          <w:u w:val="single"/>
        </w:rPr>
      </w:pPr>
    </w:p>
    <w:p w14:paraId="590701A4" w14:textId="6CAB8A89" w:rsidR="3EB40320" w:rsidRDefault="4F369E72" w:rsidP="6630C7F1">
      <w:pPr>
        <w:rPr>
          <w:sz w:val="40"/>
          <w:szCs w:val="40"/>
        </w:rPr>
      </w:pPr>
      <w:r w:rsidRPr="1A6AD4CE">
        <w:rPr>
          <w:sz w:val="40"/>
          <w:szCs w:val="40"/>
        </w:rPr>
        <w:t xml:space="preserve">Q- </w:t>
      </w:r>
      <w:r w:rsidR="09C19ED2" w:rsidRPr="1A6AD4CE">
        <w:rPr>
          <w:rFonts w:ascii="Calibri" w:eastAsia="Calibri" w:hAnsi="Calibri" w:cs="Calibri"/>
          <w:color w:val="201F1E"/>
          <w:sz w:val="28"/>
          <w:szCs w:val="28"/>
        </w:rPr>
        <w:t>I have a question around the pad that is provided by others.  Is the pad provided by others going to include the required ufer grounding per CEC generator grounding?</w:t>
      </w:r>
      <w:r w:rsidR="3EB40320" w:rsidRPr="1A6AD4CE">
        <w:rPr>
          <w:sz w:val="40"/>
          <w:szCs w:val="40"/>
        </w:rPr>
        <w:t xml:space="preserve"> </w:t>
      </w:r>
    </w:p>
    <w:p w14:paraId="5593ADB6" w14:textId="34816C07" w:rsidR="0EB697A3" w:rsidRDefault="0EB697A3" w:rsidP="1A6AD4CE">
      <w:pPr>
        <w:pBdr>
          <w:bottom w:val="single" w:sz="6" w:space="1" w:color="auto"/>
        </w:pBdr>
        <w:rPr>
          <w:sz w:val="40"/>
          <w:szCs w:val="40"/>
        </w:rPr>
      </w:pPr>
      <w:r w:rsidRPr="1C10A509">
        <w:rPr>
          <w:sz w:val="40"/>
          <w:szCs w:val="40"/>
        </w:rPr>
        <w:t xml:space="preserve">A- </w:t>
      </w:r>
      <w:r w:rsidRPr="1C10A509">
        <w:rPr>
          <w:rFonts w:ascii="Calibri" w:eastAsia="Calibri" w:hAnsi="Calibri" w:cs="Calibri"/>
          <w:sz w:val="28"/>
          <w:szCs w:val="28"/>
        </w:rPr>
        <w:t>Yes, the appropriate ground will be provided by others.</w:t>
      </w:r>
    </w:p>
    <w:p w14:paraId="65FBF6F9" w14:textId="7975D796" w:rsidR="00110BBA" w:rsidRDefault="00110BBA" w:rsidP="6630C7F1">
      <w:pPr>
        <w:rPr>
          <w:sz w:val="28"/>
          <w:szCs w:val="28"/>
        </w:rPr>
      </w:pPr>
      <w:r>
        <w:rPr>
          <w:sz w:val="40"/>
          <w:szCs w:val="40"/>
        </w:rPr>
        <w:t xml:space="preserve">Q- </w:t>
      </w:r>
      <w:r w:rsidRPr="00110BBA">
        <w:rPr>
          <w:sz w:val="28"/>
          <w:szCs w:val="28"/>
        </w:rPr>
        <w:t>In review of the contract documents we find the following question. 1. The documents require the project to be completed within 60 days of the notice of award. Due to the current situation with PG&amp;E public safety power shut down, the season fires and COVID 19 generators are currently taking 12-16 weeks to procure. You need to add 30 days for submittals. With this in mind the 60 day tim</w:t>
      </w:r>
      <w:bookmarkStart w:id="0" w:name="_GoBack"/>
      <w:bookmarkEnd w:id="0"/>
      <w:r w:rsidRPr="00110BBA">
        <w:rPr>
          <w:sz w:val="28"/>
          <w:szCs w:val="28"/>
        </w:rPr>
        <w:t>e frame is not possible. Would you consider extending the time frame to 180 days due to the current availability of generators?</w:t>
      </w:r>
    </w:p>
    <w:p w14:paraId="680C3A4E" w14:textId="5DF25BEE" w:rsidR="00110BBA" w:rsidRPr="00110BBA" w:rsidRDefault="00110BBA" w:rsidP="00110BBA">
      <w:pPr>
        <w:pBdr>
          <w:bottom w:val="single" w:sz="12" w:space="1" w:color="auto"/>
        </w:pBdr>
        <w:rPr>
          <w:sz w:val="40"/>
          <w:szCs w:val="40"/>
        </w:rPr>
      </w:pPr>
      <w:r w:rsidRPr="00110BBA">
        <w:rPr>
          <w:sz w:val="40"/>
          <w:szCs w:val="40"/>
        </w:rPr>
        <w:t>A-</w:t>
      </w:r>
      <w:r>
        <w:rPr>
          <w:sz w:val="40"/>
          <w:szCs w:val="40"/>
        </w:rPr>
        <w:t xml:space="preserve"> </w:t>
      </w:r>
      <w:r w:rsidRPr="00110BBA">
        <w:rPr>
          <w:rFonts w:ascii="Calibri" w:hAnsi="Calibri" w:cs="Calibri"/>
          <w:color w:val="000000"/>
          <w:sz w:val="28"/>
          <w:szCs w:val="28"/>
          <w:shd w:val="clear" w:color="auto" w:fill="FFFFFF"/>
        </w:rPr>
        <w:t>After further discussion regarding the dates, we must keep these deadlines at this time.</w:t>
      </w:r>
    </w:p>
    <w:p w14:paraId="73F64D9E" w14:textId="017D16BD" w:rsidR="06856023" w:rsidRDefault="06856023" w:rsidP="1C10A509">
      <w:pPr>
        <w:rPr>
          <w:rFonts w:ascii="Calibri" w:eastAsia="Calibri" w:hAnsi="Calibri" w:cs="Calibri"/>
          <w:color w:val="201F1E"/>
          <w:sz w:val="28"/>
          <w:szCs w:val="28"/>
        </w:rPr>
      </w:pPr>
      <w:r w:rsidRPr="1C10A509">
        <w:rPr>
          <w:rFonts w:ascii="Calibri" w:hAnsi="Calibri" w:cs="Calibri"/>
          <w:color w:val="000000" w:themeColor="text1"/>
          <w:sz w:val="40"/>
          <w:szCs w:val="40"/>
        </w:rPr>
        <w:t xml:space="preserve">Q- </w:t>
      </w:r>
      <w:r w:rsidR="47057168" w:rsidRPr="1C10A509">
        <w:rPr>
          <w:rFonts w:ascii="Calibri" w:eastAsia="Calibri" w:hAnsi="Calibri" w:cs="Calibri"/>
          <w:color w:val="201F1E"/>
          <w:sz w:val="28"/>
          <w:szCs w:val="28"/>
        </w:rPr>
        <w:t>Are there specific bond bid security bond forms required or will the standard forms from our bonding company be acceptable? Also, can you confirm that the maintenance bond does not have to be covered under the payment bond since it will be paid in full at the end of the contract.</w:t>
      </w:r>
    </w:p>
    <w:p w14:paraId="3E701131" w14:textId="6486CA8B" w:rsidR="47057168" w:rsidRDefault="47057168" w:rsidP="1C10A509">
      <w:pPr>
        <w:rPr>
          <w:rFonts w:ascii="Calibri" w:eastAsia="Calibri" w:hAnsi="Calibri" w:cs="Calibri"/>
          <w:color w:val="201F1E"/>
          <w:sz w:val="28"/>
          <w:szCs w:val="28"/>
        </w:rPr>
      </w:pPr>
      <w:r w:rsidRPr="1C10A509">
        <w:rPr>
          <w:rFonts w:ascii="Calibri" w:eastAsia="Calibri" w:hAnsi="Calibri" w:cs="Calibri"/>
          <w:sz w:val="40"/>
          <w:szCs w:val="40"/>
        </w:rPr>
        <w:t xml:space="preserve">A- </w:t>
      </w:r>
      <w:r w:rsidRPr="1C10A509">
        <w:rPr>
          <w:rFonts w:ascii="Calibri" w:eastAsia="Calibri" w:hAnsi="Calibri" w:cs="Calibri"/>
          <w:sz w:val="28"/>
          <w:szCs w:val="28"/>
        </w:rPr>
        <w:t xml:space="preserve">The standard forms from your bonding company are acceptable, and the </w:t>
      </w:r>
      <w:r w:rsidRPr="1C10A509">
        <w:rPr>
          <w:rFonts w:ascii="Calibri" w:eastAsia="Calibri" w:hAnsi="Calibri" w:cs="Calibri"/>
          <w:color w:val="201F1E"/>
          <w:sz w:val="28"/>
          <w:szCs w:val="28"/>
        </w:rPr>
        <w:t>maintenance bond does not have to be covered under the payment bond since it will be paid in full at the end of the contract.</w:t>
      </w:r>
    </w:p>
    <w:p w14:paraId="03FCFF21" w14:textId="77777777" w:rsidR="00D92B85" w:rsidRDefault="00D92B85" w:rsidP="1C10A509">
      <w:pPr>
        <w:rPr>
          <w:rFonts w:ascii="Calibri" w:eastAsia="Calibri" w:hAnsi="Calibri" w:cs="Calibri"/>
          <w:color w:val="201F1E"/>
          <w:sz w:val="28"/>
          <w:szCs w:val="28"/>
        </w:rPr>
      </w:pPr>
    </w:p>
    <w:p w14:paraId="52AFC742" w14:textId="77777777" w:rsidR="00110BBA" w:rsidRDefault="00110BBA" w:rsidP="6630C7F1">
      <w:pPr>
        <w:rPr>
          <w:sz w:val="40"/>
          <w:szCs w:val="40"/>
        </w:rPr>
      </w:pPr>
    </w:p>
    <w:p w14:paraId="013183A1" w14:textId="77777777" w:rsidR="00D92B85" w:rsidRDefault="00D92B85" w:rsidP="6630C7F1">
      <w:pPr>
        <w:rPr>
          <w:sz w:val="40"/>
          <w:szCs w:val="40"/>
        </w:rPr>
      </w:pPr>
    </w:p>
    <w:p w14:paraId="01B055BD" w14:textId="267AF329" w:rsidR="531F358E" w:rsidRDefault="531F358E" w:rsidP="6630C7F1">
      <w:pPr>
        <w:rPr>
          <w:sz w:val="40"/>
          <w:szCs w:val="40"/>
        </w:rPr>
      </w:pPr>
      <w:r w:rsidRPr="6630C7F1">
        <w:rPr>
          <w:sz w:val="40"/>
          <w:szCs w:val="40"/>
        </w:rPr>
        <w:lastRenderedPageBreak/>
        <w:t>Note:</w:t>
      </w:r>
    </w:p>
    <w:p w14:paraId="6811810C" w14:textId="71475D3A"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 xml:space="preserve">Questions regarding this RFP must be submitted in writing to the ATCAA Food Bank by 3:00 p.m. on Friday August 21st, 2020.  Except for questions that might render the award of this contract invalid, the ATCAA Food Bank will not respond to any questions submitted after this time. The ATCAA Food Bank will post the questions received, along with written responses, to the ATCAA Food Bank’s website, </w:t>
      </w:r>
      <w:hyperlink r:id="rId6">
        <w:r w:rsidRPr="6630C7F1">
          <w:rPr>
            <w:rStyle w:val="Hyperlink"/>
            <w:rFonts w:ascii="Calibri" w:eastAsia="Calibri" w:hAnsi="Calibri" w:cs="Calibri"/>
            <w:sz w:val="28"/>
            <w:szCs w:val="28"/>
          </w:rPr>
          <w:t>https://www.atcaa.org/food-bank</w:t>
        </w:r>
      </w:hyperlink>
      <w:r w:rsidRPr="6630C7F1">
        <w:rPr>
          <w:rFonts w:ascii="Calibri" w:eastAsia="Calibri" w:hAnsi="Calibri" w:cs="Calibri"/>
          <w:sz w:val="28"/>
          <w:szCs w:val="28"/>
        </w:rPr>
        <w:t xml:space="preserve"> , (click on “RFPs, RFQs and Organizational Documents”). It is the responsibility of the bidders to check the ATCAA Food Bank’s website to review the questions and responses. Any oral responses to questions are not binding on the ATCAA Food Bank. </w:t>
      </w:r>
    </w:p>
    <w:p w14:paraId="484F4226" w14:textId="5BC5F34A"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 xml:space="preserve">Questions should be addressed to: </w:t>
      </w:r>
    </w:p>
    <w:p w14:paraId="10AEBF2B" w14:textId="6F22A2DD" w:rsidR="6630C7F1" w:rsidRDefault="6630C7F1" w:rsidP="6630C7F1">
      <w:pPr>
        <w:rPr>
          <w:rFonts w:ascii="Calibri" w:eastAsia="Calibri" w:hAnsi="Calibri" w:cs="Calibri"/>
          <w:sz w:val="28"/>
          <w:szCs w:val="28"/>
        </w:rPr>
      </w:pPr>
    </w:p>
    <w:p w14:paraId="23A64911" w14:textId="63D408D6"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ATCAA Food Bank</w:t>
      </w:r>
    </w:p>
    <w:p w14:paraId="457E48E3" w14:textId="672F9F60"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Attn: Joe Tobin</w:t>
      </w:r>
    </w:p>
    <w:p w14:paraId="3A713FDE" w14:textId="251E3246"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PO Box 1307</w:t>
      </w:r>
    </w:p>
    <w:p w14:paraId="382584FE" w14:textId="7A1B9F7C"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Jamestown, CA 95327</w:t>
      </w:r>
    </w:p>
    <w:p w14:paraId="61469AC6" w14:textId="2E51AD41" w:rsidR="1EE99C9F" w:rsidRDefault="1EE99C9F" w:rsidP="6630C7F1">
      <w:pPr>
        <w:rPr>
          <w:rFonts w:ascii="Calibri" w:eastAsia="Calibri" w:hAnsi="Calibri" w:cs="Calibri"/>
          <w:sz w:val="28"/>
          <w:szCs w:val="28"/>
        </w:rPr>
      </w:pPr>
      <w:r w:rsidRPr="6630C7F1">
        <w:rPr>
          <w:rFonts w:ascii="Calibri" w:eastAsia="Calibri" w:hAnsi="Calibri" w:cs="Calibri"/>
          <w:sz w:val="28"/>
          <w:szCs w:val="28"/>
        </w:rPr>
        <w:t>-OR-</w:t>
      </w:r>
    </w:p>
    <w:p w14:paraId="6988CA6E" w14:textId="6C8B51ED" w:rsidR="1EE99C9F" w:rsidRDefault="1EE99C9F" w:rsidP="6630C7F1">
      <w:pPr>
        <w:rPr>
          <w:sz w:val="28"/>
          <w:szCs w:val="28"/>
        </w:rPr>
      </w:pPr>
      <w:r w:rsidRPr="6630C7F1">
        <w:rPr>
          <w:rFonts w:ascii="Calibri" w:eastAsia="Calibri" w:hAnsi="Calibri" w:cs="Calibri"/>
          <w:sz w:val="28"/>
          <w:szCs w:val="28"/>
        </w:rPr>
        <w:t xml:space="preserve">Email: </w:t>
      </w:r>
      <w:hyperlink r:id="rId7">
        <w:r w:rsidRPr="6630C7F1">
          <w:rPr>
            <w:rStyle w:val="Hyperlink"/>
            <w:rFonts w:ascii="Calibri" w:eastAsia="Calibri" w:hAnsi="Calibri" w:cs="Calibri"/>
            <w:sz w:val="28"/>
            <w:szCs w:val="28"/>
          </w:rPr>
          <w:t>jtobin@atcaa.org</w:t>
        </w:r>
      </w:hyperlink>
    </w:p>
    <w:p w14:paraId="61010636" w14:textId="468EF307" w:rsidR="6630C7F1" w:rsidRDefault="6630C7F1" w:rsidP="6630C7F1">
      <w:pPr>
        <w:rPr>
          <w:sz w:val="40"/>
          <w:szCs w:val="40"/>
        </w:rPr>
      </w:pPr>
    </w:p>
    <w:sectPr w:rsidR="6630C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566"/>
    <w:multiLevelType w:val="hybridMultilevel"/>
    <w:tmpl w:val="4DCAB02A"/>
    <w:lvl w:ilvl="0" w:tplc="83E0A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C4210"/>
    <w:multiLevelType w:val="hybridMultilevel"/>
    <w:tmpl w:val="431020D6"/>
    <w:lvl w:ilvl="0" w:tplc="B51A5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DE50C"/>
    <w:rsid w:val="00110BBA"/>
    <w:rsid w:val="003602EA"/>
    <w:rsid w:val="008B286C"/>
    <w:rsid w:val="00D92B85"/>
    <w:rsid w:val="0427A543"/>
    <w:rsid w:val="060E3EA9"/>
    <w:rsid w:val="06856023"/>
    <w:rsid w:val="09C19ED2"/>
    <w:rsid w:val="0EB697A3"/>
    <w:rsid w:val="1021DB26"/>
    <w:rsid w:val="11D7A25B"/>
    <w:rsid w:val="1A6AD4CE"/>
    <w:rsid w:val="1C10A509"/>
    <w:rsid w:val="1EE99C9F"/>
    <w:rsid w:val="21B58FC4"/>
    <w:rsid w:val="2440BE86"/>
    <w:rsid w:val="2D223336"/>
    <w:rsid w:val="2D8ABE31"/>
    <w:rsid w:val="2E0EE421"/>
    <w:rsid w:val="33D6371B"/>
    <w:rsid w:val="36111428"/>
    <w:rsid w:val="366D9D8D"/>
    <w:rsid w:val="3C9BCAE2"/>
    <w:rsid w:val="3EB40320"/>
    <w:rsid w:val="47057168"/>
    <w:rsid w:val="4965CC9E"/>
    <w:rsid w:val="4AAAD728"/>
    <w:rsid w:val="4F369E72"/>
    <w:rsid w:val="531F358E"/>
    <w:rsid w:val="594C01F0"/>
    <w:rsid w:val="5ACC2C39"/>
    <w:rsid w:val="5FA94AC7"/>
    <w:rsid w:val="60F7CB67"/>
    <w:rsid w:val="6630C7F1"/>
    <w:rsid w:val="69601DEA"/>
    <w:rsid w:val="6ECA7BCE"/>
    <w:rsid w:val="6F59C332"/>
    <w:rsid w:val="6F946E29"/>
    <w:rsid w:val="76CDE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1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1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tobin@at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caa.org/food-b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Tobin</dc:creator>
  <cp:lastModifiedBy>Joseph Tobin</cp:lastModifiedBy>
  <cp:revision>2</cp:revision>
  <cp:lastPrinted>2020-08-25T18:19:00Z</cp:lastPrinted>
  <dcterms:created xsi:type="dcterms:W3CDTF">2020-08-25T18:19:00Z</dcterms:created>
  <dcterms:modified xsi:type="dcterms:W3CDTF">2020-08-25T18:19:00Z</dcterms:modified>
</cp:coreProperties>
</file>